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00" w:rsidRPr="00246D27" w:rsidRDefault="00684C00" w:rsidP="00BD468F">
      <w:pPr>
        <w:pStyle w:val="Titolo1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246D2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PROSPETTO</w:t>
      </w:r>
      <w:r w:rsidRPr="00246D27">
        <w:rPr>
          <w:rFonts w:ascii="Times New Roman" w:eastAsia="Times New Roman" w:hAnsi="Times New Roman" w:cs="Times New Roman"/>
          <w:b/>
          <w:bCs/>
          <w:spacing w:val="51"/>
          <w:sz w:val="28"/>
          <w:szCs w:val="28"/>
          <w:lang w:val="it-IT"/>
        </w:rPr>
        <w:t xml:space="preserve"> </w:t>
      </w:r>
      <w:r w:rsidRPr="00246D2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DEL</w:t>
      </w:r>
      <w:r w:rsidRPr="00246D27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val="it-IT"/>
        </w:rPr>
        <w:t xml:space="preserve"> </w:t>
      </w:r>
      <w:r w:rsidRPr="00246D2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PROGRAMMA</w:t>
      </w:r>
      <w:r w:rsidRPr="00246D27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  <w:lang w:val="it-IT"/>
        </w:rPr>
        <w:t xml:space="preserve"> </w:t>
      </w:r>
      <w:r w:rsidRPr="00246D2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DEI</w:t>
      </w:r>
      <w:r w:rsidRPr="00246D27">
        <w:rPr>
          <w:rFonts w:ascii="Times New Roman" w:eastAsia="Times New Roman" w:hAnsi="Times New Roman" w:cs="Times New Roman"/>
          <w:b/>
          <w:bCs/>
          <w:spacing w:val="46"/>
          <w:sz w:val="28"/>
          <w:szCs w:val="28"/>
          <w:lang w:val="it-IT"/>
        </w:rPr>
        <w:t xml:space="preserve"> </w:t>
      </w:r>
      <w:r w:rsidRPr="00246D2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BENEFICI</w:t>
      </w:r>
    </w:p>
    <w:p w:rsidR="00684C00" w:rsidRPr="00246D27" w:rsidRDefault="00684C00" w:rsidP="00684C00">
      <w:pPr>
        <w:spacing w:line="276" w:lineRule="auto"/>
        <w:rPr>
          <w:rFonts w:ascii="Times New Roman" w:hAnsi="Times New Roman" w:cs="Times New Roman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1390"/>
        <w:gridCol w:w="1306"/>
      </w:tblGrid>
      <w:tr w:rsidR="00684C00" w:rsidTr="00575655">
        <w:tc>
          <w:tcPr>
            <w:tcW w:w="6232" w:type="dxa"/>
            <w:vMerge w:val="restart"/>
          </w:tcPr>
          <w:p w:rsidR="00684C00" w:rsidRPr="008722C6" w:rsidRDefault="00684C00" w:rsidP="00575655">
            <w:pPr>
              <w:rPr>
                <w:lang w:val="it-IT"/>
              </w:rPr>
            </w:pPr>
            <w:bookmarkStart w:id="0" w:name="_Hlk202975605"/>
          </w:p>
        </w:tc>
        <w:tc>
          <w:tcPr>
            <w:tcW w:w="2696" w:type="dxa"/>
            <w:gridSpan w:val="2"/>
          </w:tcPr>
          <w:p w:rsidR="00684C00" w:rsidRDefault="00684C00" w:rsidP="00575655">
            <w:pPr>
              <w:jc w:val="center"/>
            </w:pPr>
            <w:r w:rsidRPr="00246D27">
              <w:rPr>
                <w:rFonts w:ascii="Times New Roman" w:hAnsi="Times New Roman" w:cs="Times New Roman"/>
                <w:b/>
                <w:lang w:val="it-IT"/>
              </w:rPr>
              <w:t>Copertura Assicurativa</w:t>
            </w:r>
          </w:p>
        </w:tc>
      </w:tr>
      <w:tr w:rsidR="00684C00" w:rsidTr="00575655">
        <w:tc>
          <w:tcPr>
            <w:tcW w:w="6232" w:type="dxa"/>
            <w:vMerge/>
          </w:tcPr>
          <w:p w:rsidR="00684C00" w:rsidRDefault="00684C00" w:rsidP="00575655"/>
        </w:tc>
        <w:tc>
          <w:tcPr>
            <w:tcW w:w="1390" w:type="dxa"/>
          </w:tcPr>
          <w:p w:rsidR="00684C00" w:rsidRDefault="00684C00" w:rsidP="00575655">
            <w:pPr>
              <w:jc w:val="center"/>
            </w:pPr>
            <w:r w:rsidRPr="00246D2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Strutture convenzionate</w:t>
            </w:r>
          </w:p>
        </w:tc>
        <w:tc>
          <w:tcPr>
            <w:tcW w:w="1306" w:type="dxa"/>
          </w:tcPr>
          <w:p w:rsidR="00684C00" w:rsidRDefault="00684C00" w:rsidP="00575655">
            <w:pPr>
              <w:jc w:val="center"/>
            </w:pPr>
            <w:r w:rsidRPr="00246D27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Strutture non convenzionate</w:t>
            </w:r>
          </w:p>
        </w:tc>
      </w:tr>
      <w:tr w:rsidR="00684C00" w:rsidRPr="00B140F0" w:rsidTr="00575655">
        <w:tc>
          <w:tcPr>
            <w:tcW w:w="6232" w:type="dxa"/>
          </w:tcPr>
          <w:p w:rsidR="003552C9" w:rsidRPr="00B140F0" w:rsidRDefault="00684C00" w:rsidP="003552C9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it-IT"/>
              </w:rPr>
            </w:pPr>
            <w:bookmarkStart w:id="1" w:name="_GoBack" w:colFirst="0" w:colLast="0"/>
            <w:r w:rsidRPr="00B140F0">
              <w:rPr>
                <w:rFonts w:ascii="Times New Roman" w:hAnsi="Times New Roman" w:cs="Times New Roman"/>
                <w:b/>
                <w:lang w:val="it-IT"/>
              </w:rPr>
              <w:t>Assistenza Ospedaliera (§ 5, artt. III e IV</w:t>
            </w:r>
            <w:r w:rsidR="003552C9" w:rsidRPr="00B140F0">
              <w:rPr>
                <w:rFonts w:ascii="Times New Roman" w:hAnsi="Times New Roman" w:cs="Times New Roman"/>
                <w:b/>
                <w:lang w:val="it-IT"/>
              </w:rPr>
              <w:t>)</w:t>
            </w:r>
          </w:p>
        </w:tc>
        <w:tc>
          <w:tcPr>
            <w:tcW w:w="1390" w:type="dxa"/>
          </w:tcPr>
          <w:p w:rsidR="00684C00" w:rsidRPr="00FF4EFC" w:rsidRDefault="00684C00" w:rsidP="00575655">
            <w:pPr>
              <w:rPr>
                <w:lang w:val="it-IT"/>
              </w:rPr>
            </w:pPr>
          </w:p>
        </w:tc>
        <w:tc>
          <w:tcPr>
            <w:tcW w:w="1306" w:type="dxa"/>
          </w:tcPr>
          <w:p w:rsidR="00684C00" w:rsidRPr="00FF4EFC" w:rsidRDefault="00684C00" w:rsidP="00575655">
            <w:pPr>
              <w:rPr>
                <w:lang w:val="it-IT"/>
              </w:rPr>
            </w:pPr>
          </w:p>
        </w:tc>
      </w:tr>
      <w:tr w:rsidR="00684C00" w:rsidTr="00575655">
        <w:tc>
          <w:tcPr>
            <w:tcW w:w="6232" w:type="dxa"/>
          </w:tcPr>
          <w:p w:rsidR="00684C00" w:rsidRPr="00B140F0" w:rsidRDefault="00684C00" w:rsidP="00575655">
            <w:pPr>
              <w:spacing w:line="276" w:lineRule="auto"/>
              <w:ind w:left="166" w:hanging="166"/>
              <w:rPr>
                <w:lang w:val="it-IT"/>
              </w:rPr>
            </w:pPr>
            <w:r w:rsidRPr="00B140F0">
              <w:rPr>
                <w:rFonts w:ascii="Times New Roman" w:hAnsi="Times New Roman" w:cs="Times New Roman"/>
                <w:lang w:val="it-IT"/>
              </w:rPr>
              <w:t xml:space="preserve">a) Spese di degenza ospedaliera, incluse degenze per malati mentali e per tossicodipendenze 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Tr="00575655">
        <w:tc>
          <w:tcPr>
            <w:tcW w:w="6232" w:type="dxa"/>
          </w:tcPr>
          <w:p w:rsidR="00684C00" w:rsidRPr="00B140F0" w:rsidRDefault="00684C00" w:rsidP="00575655">
            <w:pPr>
              <w:spacing w:line="276" w:lineRule="auto"/>
              <w:rPr>
                <w:lang w:val="it-IT"/>
              </w:rPr>
            </w:pPr>
            <w:r w:rsidRPr="00B140F0">
              <w:rPr>
                <w:rFonts w:ascii="Times New Roman" w:hAnsi="Times New Roman" w:cs="Times New Roman"/>
                <w:lang w:val="it-IT"/>
              </w:rPr>
              <w:t>b) Spese ospedaliere per malattie con carattere di emergenza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---</w:t>
            </w:r>
          </w:p>
        </w:tc>
      </w:tr>
      <w:bookmarkEnd w:id="1"/>
      <w:tr w:rsidR="00684C00" w:rsidTr="00575655">
        <w:tc>
          <w:tcPr>
            <w:tcW w:w="6232" w:type="dxa"/>
          </w:tcPr>
          <w:p w:rsidR="00684C00" w:rsidRPr="00E84444" w:rsidRDefault="00684C00" w:rsidP="00575655">
            <w:pPr>
              <w:spacing w:line="276" w:lineRule="auto"/>
              <w:ind w:left="166" w:hanging="166"/>
              <w:rPr>
                <w:lang w:val="it-IT"/>
              </w:rPr>
            </w:pPr>
            <w:r w:rsidRPr="00E84444">
              <w:rPr>
                <w:rFonts w:ascii="Times New Roman" w:hAnsi="Times New Roman" w:cs="Times New Roman"/>
                <w:lang w:val="it-IT"/>
              </w:rPr>
              <w:t>c) Spese ospedaliere ambulatoriali incluse malattie mentali e tossicodipendenze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RPr="00B140F0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lang w:val="it-IT"/>
              </w:rPr>
            </w:pPr>
            <w:r w:rsidRPr="008722C6">
              <w:rPr>
                <w:rFonts w:ascii="Times New Roman" w:hAnsi="Times New Roman" w:cs="Times New Roman"/>
                <w:b/>
                <w:lang w:val="it-IT"/>
              </w:rPr>
              <w:t>2. Prestazioni mediche (§ 6, artt. V e VI)</w:t>
            </w:r>
          </w:p>
        </w:tc>
        <w:tc>
          <w:tcPr>
            <w:tcW w:w="1390" w:type="dxa"/>
          </w:tcPr>
          <w:p w:rsidR="00684C00" w:rsidRPr="00FF4EFC" w:rsidRDefault="00684C00" w:rsidP="00575655">
            <w:pPr>
              <w:rPr>
                <w:lang w:val="it-IT"/>
              </w:rPr>
            </w:pPr>
          </w:p>
        </w:tc>
        <w:tc>
          <w:tcPr>
            <w:tcW w:w="1306" w:type="dxa"/>
          </w:tcPr>
          <w:p w:rsidR="00684C00" w:rsidRPr="00FF4EFC" w:rsidRDefault="00684C00" w:rsidP="00575655">
            <w:pPr>
              <w:rPr>
                <w:lang w:val="it-IT"/>
              </w:rPr>
            </w:pPr>
          </w:p>
        </w:tc>
      </w:tr>
      <w:tr w:rsidR="00684C00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lang w:val="it-IT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>d) Spese chirurgiche per interventi su pazienti degenti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lang w:val="it-IT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>e) Spese per visite mediche per degenze ospedaliere</w:t>
            </w:r>
          </w:p>
        </w:tc>
        <w:tc>
          <w:tcPr>
            <w:tcW w:w="1390" w:type="dxa"/>
          </w:tcPr>
          <w:p w:rsidR="00684C00" w:rsidRDefault="00684C00" w:rsidP="00575655">
            <w:r>
              <w:t>100%</w:t>
            </w:r>
          </w:p>
        </w:tc>
        <w:tc>
          <w:tcPr>
            <w:tcW w:w="1306" w:type="dxa"/>
          </w:tcPr>
          <w:p w:rsidR="00684C00" w:rsidRDefault="00684C00" w:rsidP="00575655">
            <w:r>
              <w:t>70%</w:t>
            </w:r>
          </w:p>
        </w:tc>
      </w:tr>
      <w:tr w:rsidR="00684C00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>f) Visite mediche ambulatoriali:</w:t>
            </w:r>
          </w:p>
          <w:p w:rsidR="00684C00" w:rsidRPr="008722C6" w:rsidRDefault="00684C00" w:rsidP="00575655">
            <w:pPr>
              <w:spacing w:line="276" w:lineRule="auto"/>
              <w:ind w:left="458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8722C6">
              <w:rPr>
                <w:rFonts w:ascii="Times New Roman" w:hAnsi="Times New Roman" w:cs="Times New Roman"/>
                <w:lang w:val="it-IT"/>
              </w:rPr>
              <w:t>f.a</w:t>
            </w:r>
            <w:proofErr w:type="spellEnd"/>
            <w:r w:rsidRPr="008722C6">
              <w:rPr>
                <w:rFonts w:ascii="Times New Roman" w:hAnsi="Times New Roman" w:cs="Times New Roman"/>
                <w:lang w:val="it-IT"/>
              </w:rPr>
              <w:t xml:space="preserve">) visita presso gabinetto chirurgico (inclusa visita e/o intervento chirurgico) </w:t>
            </w:r>
          </w:p>
          <w:p w:rsidR="00684C00" w:rsidRPr="008722C6" w:rsidRDefault="00684C00" w:rsidP="00575655">
            <w:pPr>
              <w:spacing w:line="276" w:lineRule="auto"/>
              <w:ind w:left="458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8722C6">
              <w:rPr>
                <w:rFonts w:ascii="Times New Roman" w:hAnsi="Times New Roman" w:cs="Times New Roman"/>
                <w:lang w:val="it-IT"/>
              </w:rPr>
              <w:t>f.b</w:t>
            </w:r>
            <w:proofErr w:type="spellEnd"/>
            <w:r w:rsidRPr="008722C6">
              <w:rPr>
                <w:rFonts w:ascii="Times New Roman" w:hAnsi="Times New Roman" w:cs="Times New Roman"/>
                <w:lang w:val="it-IT"/>
              </w:rPr>
              <w:t>) visita presso gabinetto medico</w:t>
            </w:r>
          </w:p>
          <w:p w:rsidR="00684C00" w:rsidRPr="008722C6" w:rsidRDefault="00684C00" w:rsidP="00575655">
            <w:pPr>
              <w:spacing w:line="276" w:lineRule="auto"/>
              <w:ind w:left="458"/>
              <w:rPr>
                <w:lang w:val="it-IT"/>
              </w:rPr>
            </w:pPr>
            <w:proofErr w:type="spellStart"/>
            <w:r w:rsidRPr="008722C6">
              <w:rPr>
                <w:rFonts w:ascii="Times New Roman" w:hAnsi="Times New Roman" w:cs="Times New Roman"/>
                <w:lang w:val="it-IT"/>
              </w:rPr>
              <w:t>f.c</w:t>
            </w:r>
            <w:proofErr w:type="spellEnd"/>
            <w:r w:rsidRPr="008722C6">
              <w:rPr>
                <w:rFonts w:ascii="Times New Roman" w:hAnsi="Times New Roman" w:cs="Times New Roman"/>
                <w:lang w:val="it-IT"/>
              </w:rPr>
              <w:t>) servizi connessi: diagnostica di laboratorio e strumentale</w:t>
            </w:r>
          </w:p>
        </w:tc>
        <w:tc>
          <w:tcPr>
            <w:tcW w:w="1390" w:type="dxa"/>
            <w:vAlign w:val="center"/>
          </w:tcPr>
          <w:p w:rsidR="00684C00" w:rsidRDefault="00684C00" w:rsidP="00575655"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  <w:vAlign w:val="center"/>
          </w:tcPr>
          <w:p w:rsidR="00684C00" w:rsidRDefault="00684C00" w:rsidP="00575655">
            <w:r w:rsidRPr="00246D27">
              <w:rPr>
                <w:rFonts w:ascii="Times New Roman" w:hAnsi="Times New Roman" w:cs="Times New Roman"/>
                <w:lang w:val="it-IT"/>
              </w:rPr>
              <w:t>65%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>g) Terapia riabilitativa</w:t>
            </w:r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246D27">
              <w:rPr>
                <w:rFonts w:ascii="Times New Roman" w:hAnsi="Times New Roman" w:cs="Times New Roman"/>
                <w:lang w:val="it-IT"/>
              </w:rPr>
              <w:t>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</w:rPr>
            </w:pPr>
            <w:r w:rsidRPr="008722C6">
              <w:rPr>
                <w:rFonts w:ascii="Times New Roman" w:hAnsi="Times New Roman" w:cs="Times New Roman"/>
              </w:rPr>
              <w:t xml:space="preserve">h) </w:t>
            </w:r>
            <w:proofErr w:type="spellStart"/>
            <w:r w:rsidRPr="008722C6">
              <w:rPr>
                <w:rFonts w:ascii="Times New Roman" w:hAnsi="Times New Roman" w:cs="Times New Roman"/>
              </w:rPr>
              <w:t>Controlli</w:t>
            </w:r>
            <w:proofErr w:type="spellEnd"/>
            <w:r w:rsidRPr="008722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22C6">
              <w:rPr>
                <w:rFonts w:ascii="Times New Roman" w:hAnsi="Times New Roman" w:cs="Times New Roman"/>
              </w:rPr>
              <w:t>medici</w:t>
            </w:r>
            <w:proofErr w:type="spellEnd"/>
            <w:r w:rsidRPr="008722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22C6">
              <w:rPr>
                <w:rFonts w:ascii="Times New Roman" w:hAnsi="Times New Roman" w:cs="Times New Roman"/>
              </w:rPr>
              <w:t>preventivi</w:t>
            </w:r>
            <w:proofErr w:type="spellEnd"/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65%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8722C6">
              <w:rPr>
                <w:rFonts w:ascii="Times New Roman" w:hAnsi="Times New Roman" w:cs="Times New Roman"/>
                <w:lang w:val="it-IT"/>
              </w:rPr>
              <w:t>i) Vaccino profilassi</w:t>
            </w:r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100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it-IT"/>
              </w:rPr>
              <w:t>---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8722C6">
              <w:rPr>
                <w:rFonts w:ascii="Times New Roman" w:hAnsi="Times New Roman" w:cs="Times New Roman"/>
              </w:rPr>
              <w:t xml:space="preserve">1) Screening </w:t>
            </w:r>
            <w:proofErr w:type="spellStart"/>
            <w:r w:rsidRPr="008722C6">
              <w:rPr>
                <w:rFonts w:ascii="Times New Roman" w:hAnsi="Times New Roman" w:cs="Times New Roman"/>
              </w:rPr>
              <w:t>oncologici</w:t>
            </w:r>
            <w:proofErr w:type="spellEnd"/>
            <w:r w:rsidRPr="008722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0" w:type="dxa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100%</w:t>
            </w:r>
          </w:p>
        </w:tc>
        <w:tc>
          <w:tcPr>
            <w:tcW w:w="1306" w:type="dxa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84C00" w:rsidRPr="00693216" w:rsidTr="00575655">
        <w:tc>
          <w:tcPr>
            <w:tcW w:w="6232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</w:rPr>
            </w:pPr>
            <w:r w:rsidRPr="008722C6">
              <w:rPr>
                <w:rFonts w:ascii="Times New Roman" w:hAnsi="Times New Roman" w:cs="Times New Roman"/>
              </w:rPr>
              <w:t xml:space="preserve">m) </w:t>
            </w:r>
            <w:proofErr w:type="spellStart"/>
            <w:r w:rsidRPr="008722C6">
              <w:rPr>
                <w:rFonts w:ascii="Times New Roman" w:hAnsi="Times New Roman" w:cs="Times New Roman"/>
              </w:rPr>
              <w:t>Fecondazione</w:t>
            </w:r>
            <w:proofErr w:type="spellEnd"/>
            <w:r w:rsidRPr="008722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22C6">
              <w:rPr>
                <w:rFonts w:ascii="Times New Roman" w:hAnsi="Times New Roman" w:cs="Times New Roman"/>
              </w:rPr>
              <w:t>assistita</w:t>
            </w:r>
            <w:proofErr w:type="spellEnd"/>
          </w:p>
        </w:tc>
        <w:tc>
          <w:tcPr>
            <w:tcW w:w="1390" w:type="dxa"/>
            <w:vAlign w:val="center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  <w:vAlign w:val="center"/>
          </w:tcPr>
          <w:p w:rsidR="00684C00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65%</w:t>
            </w:r>
          </w:p>
        </w:tc>
      </w:tr>
      <w:tr w:rsidR="00684C00" w:rsidRPr="00693216" w:rsidTr="00575655">
        <w:tc>
          <w:tcPr>
            <w:tcW w:w="6232" w:type="dxa"/>
          </w:tcPr>
          <w:p w:rsidR="00684C00" w:rsidRPr="00D8566C" w:rsidRDefault="00684C00" w:rsidP="00575655">
            <w:pPr>
              <w:rPr>
                <w:rFonts w:ascii="Times New Roman" w:hAnsi="Times New Roman" w:cs="Times New Roman"/>
                <w:b/>
                <w:lang w:val="it-IT"/>
              </w:rPr>
            </w:pPr>
            <w:r>
              <w:rPr>
                <w:rFonts w:ascii="Times New Roman" w:hAnsi="Times New Roman" w:cs="Times New Roman"/>
                <w:b/>
                <w:lang w:val="it-IT"/>
              </w:rPr>
              <w:t xml:space="preserve">3. </w:t>
            </w:r>
            <w:r w:rsidRPr="00D8566C">
              <w:rPr>
                <w:rFonts w:ascii="Times New Roman" w:hAnsi="Times New Roman" w:cs="Times New Roman"/>
                <w:b/>
                <w:lang w:val="it-IT"/>
              </w:rPr>
              <w:t>Prestazioni addizionale</w:t>
            </w:r>
          </w:p>
        </w:tc>
        <w:tc>
          <w:tcPr>
            <w:tcW w:w="1390" w:type="dxa"/>
          </w:tcPr>
          <w:p w:rsidR="00684C00" w:rsidRPr="00246D27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306" w:type="dxa"/>
          </w:tcPr>
          <w:p w:rsidR="00684C00" w:rsidRPr="00246D27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84C00" w:rsidRPr="00EC177C" w:rsidTr="00575655">
        <w:tc>
          <w:tcPr>
            <w:tcW w:w="6232" w:type="dxa"/>
          </w:tcPr>
          <w:p w:rsidR="00684C00" w:rsidRPr="008722C6" w:rsidRDefault="001B43A5" w:rsidP="00575655">
            <w:pPr>
              <w:rPr>
                <w:rFonts w:ascii="Times New Roman" w:hAnsi="Times New Roman" w:cs="Times New Roman"/>
                <w:lang w:val="it-IT"/>
              </w:rPr>
            </w:pPr>
            <w:r w:rsidRPr="001B43A5">
              <w:rPr>
                <w:rFonts w:ascii="Times New Roman" w:hAnsi="Times New Roman" w:cs="Times New Roman"/>
                <w:lang w:val="it-IT"/>
              </w:rPr>
              <w:t>n</w:t>
            </w:r>
            <w:r w:rsidR="00684C00" w:rsidRPr="008722C6">
              <w:rPr>
                <w:rFonts w:ascii="Times New Roman" w:hAnsi="Times New Roman" w:cs="Times New Roman"/>
                <w:lang w:val="it-IT"/>
              </w:rPr>
              <w:t>) Medicinali non esclusi</w:t>
            </w:r>
            <w:r w:rsidR="00110474">
              <w:rPr>
                <w:rFonts w:ascii="Times New Roman" w:hAnsi="Times New Roman" w:cs="Times New Roman"/>
                <w:lang w:val="it-IT"/>
              </w:rPr>
              <w:t>*</w:t>
            </w:r>
            <w:r w:rsidR="00684C00" w:rsidRPr="008722C6">
              <w:rPr>
                <w:rFonts w:ascii="Times New Roman" w:hAnsi="Times New Roman" w:cs="Times New Roman"/>
                <w:lang w:val="it-IT"/>
              </w:rPr>
              <w:t>, q</w:t>
            </w:r>
            <w:r w:rsidR="00684C00">
              <w:rPr>
                <w:rFonts w:ascii="Times New Roman" w:hAnsi="Times New Roman" w:cs="Times New Roman"/>
                <w:lang w:val="it-IT"/>
              </w:rPr>
              <w:t>uota del co-pagamento: $15 per farmaci generici e $35 per farmaci di marca</w:t>
            </w:r>
          </w:p>
        </w:tc>
        <w:tc>
          <w:tcPr>
            <w:tcW w:w="1390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100</w:t>
            </w:r>
            <w:r w:rsidRPr="008722C6">
              <w:rPr>
                <w:rFonts w:ascii="Times New Roman" w:hAnsi="Times New Roman" w:cs="Times New Roman"/>
                <w:lang w:val="it-IT"/>
              </w:rPr>
              <w:t>%</w:t>
            </w:r>
          </w:p>
        </w:tc>
        <w:tc>
          <w:tcPr>
            <w:tcW w:w="1306" w:type="dxa"/>
          </w:tcPr>
          <w:p w:rsidR="00684C00" w:rsidRPr="008722C6" w:rsidRDefault="00684C00" w:rsidP="00575655">
            <w:pPr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684C00" w:rsidRPr="00693216" w:rsidTr="00575655">
        <w:tc>
          <w:tcPr>
            <w:tcW w:w="6232" w:type="dxa"/>
          </w:tcPr>
          <w:p w:rsidR="00684C00" w:rsidRPr="00FF4EFC" w:rsidRDefault="001B43A5" w:rsidP="00575655">
            <w:pPr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</w:t>
            </w:r>
            <w:r w:rsidR="00684C00" w:rsidRPr="00FF4EFC">
              <w:rPr>
                <w:rFonts w:ascii="Times New Roman" w:hAnsi="Times New Roman" w:cs="Times New Roman"/>
                <w:lang w:val="it-IT"/>
              </w:rPr>
              <w:t xml:space="preserve">) </w:t>
            </w:r>
            <w:r w:rsidR="00684C00" w:rsidRPr="00693216">
              <w:rPr>
                <w:rFonts w:ascii="Times New Roman" w:hAnsi="Times New Roman" w:cs="Times New Roman"/>
                <w:lang w:val="it-IT"/>
              </w:rPr>
              <w:t>Assistenza odontoiatrica</w:t>
            </w:r>
          </w:p>
        </w:tc>
        <w:tc>
          <w:tcPr>
            <w:tcW w:w="1390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 w:rsidRPr="00246D27">
              <w:rPr>
                <w:rFonts w:ascii="Times New Roman" w:hAnsi="Times New Roman" w:cs="Times New Roman"/>
                <w:lang w:val="it-IT"/>
              </w:rPr>
              <w:t>80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306" w:type="dxa"/>
          </w:tcPr>
          <w:p w:rsidR="00684C00" w:rsidRPr="00693216" w:rsidRDefault="00684C00" w:rsidP="00575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65%</w:t>
            </w:r>
          </w:p>
        </w:tc>
      </w:tr>
      <w:bookmarkEnd w:id="0"/>
    </w:tbl>
    <w:p w:rsidR="00684C00" w:rsidRPr="00214836" w:rsidRDefault="00684C00" w:rsidP="00684C00">
      <w:pPr>
        <w:spacing w:line="276" w:lineRule="auto"/>
        <w:rPr>
          <w:rFonts w:ascii="Times New Roman" w:hAnsi="Times New Roman" w:cs="Times New Roman"/>
          <w:lang w:val="it-IT"/>
        </w:rPr>
      </w:pPr>
    </w:p>
    <w:p w:rsidR="003552C9" w:rsidRDefault="003552C9" w:rsidP="003552C9">
      <w:pPr>
        <w:spacing w:before="3"/>
        <w:rPr>
          <w:rFonts w:ascii="Arial" w:eastAsia="Arial" w:hAnsi="Arial" w:cs="Arial"/>
          <w:sz w:val="24"/>
          <w:szCs w:val="24"/>
        </w:rPr>
      </w:pPr>
    </w:p>
    <w:p w:rsidR="00110474" w:rsidRPr="00110474" w:rsidRDefault="00110474" w:rsidP="00110474">
      <w:pPr>
        <w:tabs>
          <w:tab w:val="left" w:pos="411"/>
        </w:tabs>
        <w:spacing w:line="276" w:lineRule="auto"/>
        <w:jc w:val="both"/>
        <w:rPr>
          <w:lang w:val="it-IT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val="it-IT"/>
        </w:rPr>
        <w:t xml:space="preserve">*solo inclusi i medicinali indicati </w:t>
      </w:r>
      <w:r w:rsidRPr="00110474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  <w:t xml:space="preserve">nell’elenco scaricabile al link </w:t>
      </w:r>
      <w:hyperlink r:id="rId5" w:history="1">
        <w:r w:rsidRPr="00110474">
          <w:rPr>
            <w:rStyle w:val="Collegamentoipertestuale"/>
            <w:lang w:val="it-IT"/>
          </w:rPr>
          <w:t>https://www.aifa.gov.it/liste-dei-farmaci</w:t>
        </w:r>
      </w:hyperlink>
      <w:r w:rsidRPr="00110474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  <w:t xml:space="preserve">, tabella </w:t>
      </w:r>
      <w:r w:rsidRPr="00110474">
        <w:rPr>
          <w:lang w:val="it-IT"/>
        </w:rPr>
        <w:t>“</w:t>
      </w:r>
      <w:r w:rsidRPr="00110474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  <w:t>Lista farmaci di classe A e H per consentire a tutti gli Operatori la prescrizione per principio attivo”, Tipo file: CVS e “Download (Classe A - per</w:t>
      </w:r>
      <w:r w:rsidR="00E97521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  <w:t xml:space="preserve"> principio attivo) al 31</w:t>
      </w:r>
      <w:r w:rsidRPr="00110474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  <w:t>-0</w:t>
      </w:r>
      <w:r w:rsidR="00E97521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  <w:t>3</w:t>
      </w:r>
      <w:r w:rsidRPr="00110474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  <w:t xml:space="preserve">-2025”. </w:t>
      </w:r>
    </w:p>
    <w:p w:rsidR="00110474" w:rsidRPr="00FF63CE" w:rsidRDefault="00110474" w:rsidP="00110474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u w:val="single"/>
          <w:lang w:val="it-IT"/>
        </w:rPr>
      </w:pPr>
    </w:p>
    <w:p w:rsidR="003552C9" w:rsidRPr="00110474" w:rsidRDefault="003552C9" w:rsidP="00110474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</w:pPr>
    </w:p>
    <w:p w:rsidR="003552C9" w:rsidRPr="00110474" w:rsidRDefault="003552C9" w:rsidP="00110474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  <w:lang w:val="it-IT"/>
        </w:rPr>
      </w:pPr>
    </w:p>
    <w:p w:rsidR="003552C9" w:rsidRPr="00110474" w:rsidRDefault="00110474" w:rsidP="00110474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  <w:lang w:val="it-IT"/>
        </w:rPr>
      </w:pPr>
      <w:r w:rsidRPr="00110474"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u w:val="single"/>
          <w:lang w:val="it-IT"/>
        </w:rPr>
        <w:t xml:space="preserve">Nota bene, le percentuali sopra indicate non sono definitive e possono pertanto subire variazioni. </w:t>
      </w:r>
    </w:p>
    <w:p w:rsidR="003552C9" w:rsidRPr="00110474" w:rsidRDefault="003552C9" w:rsidP="00110474">
      <w:pPr>
        <w:tabs>
          <w:tab w:val="left" w:pos="411"/>
        </w:tabs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sz w:val="24"/>
          <w:szCs w:val="24"/>
          <w:lang w:val="it-IT"/>
        </w:rPr>
      </w:pPr>
    </w:p>
    <w:p w:rsidR="003552C9" w:rsidRPr="00110474" w:rsidRDefault="003552C9" w:rsidP="003552C9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:rsidR="003552C9" w:rsidRPr="00110474" w:rsidRDefault="003552C9" w:rsidP="003552C9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:rsidR="003552C9" w:rsidRPr="00110474" w:rsidRDefault="003552C9" w:rsidP="003552C9">
      <w:pPr>
        <w:spacing w:before="3"/>
        <w:rPr>
          <w:rFonts w:ascii="Arial" w:eastAsia="Arial" w:hAnsi="Arial" w:cs="Arial"/>
          <w:sz w:val="24"/>
          <w:szCs w:val="24"/>
          <w:lang w:val="it-IT"/>
        </w:rPr>
      </w:pPr>
    </w:p>
    <w:p w:rsidR="00B96BD8" w:rsidRPr="00E97521" w:rsidRDefault="00B96BD8" w:rsidP="00110474">
      <w:pPr>
        <w:rPr>
          <w:rFonts w:ascii="Times New Roman" w:hAnsi="Times New Roman" w:cs="Times New Roman"/>
          <w:lang w:val="it-IT"/>
        </w:rPr>
      </w:pPr>
    </w:p>
    <w:sectPr w:rsidR="00B96BD8" w:rsidRPr="00E97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4978"/>
    <w:multiLevelType w:val="hybridMultilevel"/>
    <w:tmpl w:val="CBA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558F"/>
    <w:multiLevelType w:val="multilevel"/>
    <w:tmpl w:val="236AF994"/>
    <w:lvl w:ilvl="0">
      <w:start w:val="6"/>
      <w:numFmt w:val="lowerLetter"/>
      <w:lvlText w:val="%1)"/>
      <w:lvlJc w:val="left"/>
      <w:pPr>
        <w:ind w:left="373" w:hanging="247"/>
      </w:pPr>
      <w:rPr>
        <w:rFonts w:ascii="Arial" w:eastAsia="Arial" w:hAnsi="Arial" w:hint="default"/>
        <w:b w:val="0"/>
        <w:bCs/>
        <w:w w:val="113"/>
        <w:sz w:val="23"/>
        <w:szCs w:val="23"/>
      </w:rPr>
    </w:lvl>
    <w:lvl w:ilvl="1">
      <w:start w:val="1"/>
      <w:numFmt w:val="lowerLetter"/>
      <w:lvlText w:val="%1.%2)"/>
      <w:lvlJc w:val="left"/>
      <w:pPr>
        <w:ind w:left="1233" w:hanging="430"/>
      </w:pPr>
      <w:rPr>
        <w:rFonts w:ascii="Arial" w:eastAsia="Arial" w:hAnsi="Arial" w:hint="default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63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4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4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4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15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5" w:hanging="430"/>
      </w:pPr>
      <w:rPr>
        <w:rFonts w:hint="default"/>
      </w:rPr>
    </w:lvl>
  </w:abstractNum>
  <w:abstractNum w:abstractNumId="2" w15:restartNumberingAfterBreak="0">
    <w:nsid w:val="63A32BA9"/>
    <w:multiLevelType w:val="hybridMultilevel"/>
    <w:tmpl w:val="6FA2F7D2"/>
    <w:lvl w:ilvl="0" w:tplc="C6F661A6">
      <w:start w:val="1"/>
      <w:numFmt w:val="decimal"/>
      <w:lvlText w:val="%1."/>
      <w:lvlJc w:val="left"/>
      <w:pPr>
        <w:ind w:left="276" w:hanging="276"/>
      </w:pPr>
      <w:rPr>
        <w:rFonts w:ascii="Arial" w:eastAsia="Arial" w:hAnsi="Arial" w:hint="default"/>
        <w:b/>
        <w:bCs/>
        <w:spacing w:val="-30"/>
        <w:w w:val="125"/>
        <w:sz w:val="23"/>
        <w:szCs w:val="23"/>
      </w:rPr>
    </w:lvl>
    <w:lvl w:ilvl="1" w:tplc="B9581526">
      <w:start w:val="1"/>
      <w:numFmt w:val="bullet"/>
      <w:lvlText w:val="•"/>
      <w:lvlJc w:val="left"/>
      <w:pPr>
        <w:ind w:left="825" w:hanging="276"/>
      </w:pPr>
      <w:rPr>
        <w:rFonts w:hint="default"/>
      </w:rPr>
    </w:lvl>
    <w:lvl w:ilvl="2" w:tplc="BEF69F42">
      <w:start w:val="1"/>
      <w:numFmt w:val="bullet"/>
      <w:lvlText w:val="•"/>
      <w:lvlJc w:val="left"/>
      <w:pPr>
        <w:ind w:left="1374" w:hanging="276"/>
      </w:pPr>
      <w:rPr>
        <w:rFonts w:hint="default"/>
      </w:rPr>
    </w:lvl>
    <w:lvl w:ilvl="3" w:tplc="1BB8E742">
      <w:start w:val="1"/>
      <w:numFmt w:val="bullet"/>
      <w:lvlText w:val="•"/>
      <w:lvlJc w:val="left"/>
      <w:pPr>
        <w:ind w:left="1923" w:hanging="276"/>
      </w:pPr>
      <w:rPr>
        <w:rFonts w:hint="default"/>
      </w:rPr>
    </w:lvl>
    <w:lvl w:ilvl="4" w:tplc="4BE636B4">
      <w:start w:val="1"/>
      <w:numFmt w:val="bullet"/>
      <w:lvlText w:val="•"/>
      <w:lvlJc w:val="left"/>
      <w:pPr>
        <w:ind w:left="2472" w:hanging="276"/>
      </w:pPr>
      <w:rPr>
        <w:rFonts w:hint="default"/>
      </w:rPr>
    </w:lvl>
    <w:lvl w:ilvl="5" w:tplc="013E014E">
      <w:start w:val="1"/>
      <w:numFmt w:val="bullet"/>
      <w:lvlText w:val="•"/>
      <w:lvlJc w:val="left"/>
      <w:pPr>
        <w:ind w:left="3021" w:hanging="276"/>
      </w:pPr>
      <w:rPr>
        <w:rFonts w:hint="default"/>
      </w:rPr>
    </w:lvl>
    <w:lvl w:ilvl="6" w:tplc="655CFBA2">
      <w:start w:val="1"/>
      <w:numFmt w:val="bullet"/>
      <w:lvlText w:val="•"/>
      <w:lvlJc w:val="left"/>
      <w:pPr>
        <w:ind w:left="3571" w:hanging="276"/>
      </w:pPr>
      <w:rPr>
        <w:rFonts w:hint="default"/>
      </w:rPr>
    </w:lvl>
    <w:lvl w:ilvl="7" w:tplc="FE2468C8">
      <w:start w:val="1"/>
      <w:numFmt w:val="bullet"/>
      <w:lvlText w:val="•"/>
      <w:lvlJc w:val="left"/>
      <w:pPr>
        <w:ind w:left="4120" w:hanging="276"/>
      </w:pPr>
      <w:rPr>
        <w:rFonts w:hint="default"/>
      </w:rPr>
    </w:lvl>
    <w:lvl w:ilvl="8" w:tplc="28FA6576">
      <w:start w:val="1"/>
      <w:numFmt w:val="bullet"/>
      <w:lvlText w:val="•"/>
      <w:lvlJc w:val="left"/>
      <w:pPr>
        <w:ind w:left="4669" w:hanging="276"/>
      </w:pPr>
      <w:rPr>
        <w:rFonts w:hint="default"/>
      </w:rPr>
    </w:lvl>
  </w:abstractNum>
  <w:abstractNum w:abstractNumId="3" w15:restartNumberingAfterBreak="0">
    <w:nsid w:val="705405FF"/>
    <w:multiLevelType w:val="hybridMultilevel"/>
    <w:tmpl w:val="5F441B08"/>
    <w:lvl w:ilvl="0" w:tplc="41804660">
      <w:start w:val="1"/>
      <w:numFmt w:val="lowerLetter"/>
      <w:lvlText w:val="%1)"/>
      <w:lvlJc w:val="left"/>
      <w:pPr>
        <w:ind w:left="3370" w:hanging="251"/>
      </w:pPr>
      <w:rPr>
        <w:rFonts w:ascii="Times New Roman" w:eastAsia="Times New Roman" w:hAnsi="Times New Roman" w:hint="default"/>
        <w:b/>
        <w:bCs/>
        <w:w w:val="106"/>
        <w:sz w:val="22"/>
        <w:szCs w:val="22"/>
      </w:rPr>
    </w:lvl>
    <w:lvl w:ilvl="1" w:tplc="84BCBD68">
      <w:start w:val="1"/>
      <w:numFmt w:val="bullet"/>
      <w:lvlText w:val="•"/>
      <w:lvlJc w:val="left"/>
      <w:pPr>
        <w:ind w:left="-549" w:hanging="251"/>
      </w:pPr>
      <w:rPr>
        <w:rFonts w:hint="default"/>
      </w:rPr>
    </w:lvl>
    <w:lvl w:ilvl="2" w:tplc="B1548378">
      <w:start w:val="1"/>
      <w:numFmt w:val="bullet"/>
      <w:lvlText w:val="•"/>
      <w:lvlJc w:val="left"/>
      <w:pPr>
        <w:ind w:left="478" w:hanging="251"/>
      </w:pPr>
      <w:rPr>
        <w:rFonts w:hint="default"/>
      </w:rPr>
    </w:lvl>
    <w:lvl w:ilvl="3" w:tplc="FED827FE">
      <w:start w:val="1"/>
      <w:numFmt w:val="bullet"/>
      <w:lvlText w:val="•"/>
      <w:lvlJc w:val="left"/>
      <w:pPr>
        <w:ind w:left="1504" w:hanging="251"/>
      </w:pPr>
      <w:rPr>
        <w:rFonts w:hint="default"/>
      </w:rPr>
    </w:lvl>
    <w:lvl w:ilvl="4" w:tplc="845EAF40">
      <w:start w:val="1"/>
      <w:numFmt w:val="bullet"/>
      <w:lvlText w:val="•"/>
      <w:lvlJc w:val="left"/>
      <w:pPr>
        <w:ind w:left="2531" w:hanging="251"/>
      </w:pPr>
      <w:rPr>
        <w:rFonts w:hint="default"/>
      </w:rPr>
    </w:lvl>
    <w:lvl w:ilvl="5" w:tplc="BE08CA38">
      <w:start w:val="1"/>
      <w:numFmt w:val="bullet"/>
      <w:lvlText w:val="•"/>
      <w:lvlJc w:val="left"/>
      <w:pPr>
        <w:ind w:left="3558" w:hanging="251"/>
      </w:pPr>
      <w:rPr>
        <w:rFonts w:hint="default"/>
      </w:rPr>
    </w:lvl>
    <w:lvl w:ilvl="6" w:tplc="4194226A">
      <w:start w:val="1"/>
      <w:numFmt w:val="bullet"/>
      <w:lvlText w:val="•"/>
      <w:lvlJc w:val="left"/>
      <w:pPr>
        <w:ind w:left="4585" w:hanging="251"/>
      </w:pPr>
      <w:rPr>
        <w:rFonts w:hint="default"/>
      </w:rPr>
    </w:lvl>
    <w:lvl w:ilvl="7" w:tplc="C14893B6">
      <w:start w:val="1"/>
      <w:numFmt w:val="bullet"/>
      <w:lvlText w:val="•"/>
      <w:lvlJc w:val="left"/>
      <w:pPr>
        <w:ind w:left="5612" w:hanging="251"/>
      </w:pPr>
      <w:rPr>
        <w:rFonts w:hint="default"/>
      </w:rPr>
    </w:lvl>
    <w:lvl w:ilvl="8" w:tplc="5090FFC6">
      <w:start w:val="1"/>
      <w:numFmt w:val="bullet"/>
      <w:lvlText w:val="•"/>
      <w:lvlJc w:val="left"/>
      <w:pPr>
        <w:ind w:left="6639" w:hanging="25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00"/>
    <w:rsid w:val="00110474"/>
    <w:rsid w:val="001B43A5"/>
    <w:rsid w:val="003552C9"/>
    <w:rsid w:val="00684C00"/>
    <w:rsid w:val="00AB11D3"/>
    <w:rsid w:val="00B140F0"/>
    <w:rsid w:val="00B96BD8"/>
    <w:rsid w:val="00BD468F"/>
    <w:rsid w:val="00DB5F0C"/>
    <w:rsid w:val="00E84444"/>
    <w:rsid w:val="00E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17EFE-5848-4C05-9F5B-8D06C541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84C00"/>
    <w:pPr>
      <w:widowControl w:val="0"/>
      <w:spacing w:after="0" w:line="240" w:lineRule="auto"/>
    </w:pPr>
  </w:style>
  <w:style w:type="paragraph" w:styleId="Titolo1">
    <w:name w:val="heading 1"/>
    <w:basedOn w:val="Normale"/>
    <w:link w:val="Titolo1Carattere"/>
    <w:uiPriority w:val="1"/>
    <w:qFormat/>
    <w:rsid w:val="00684C00"/>
    <w:pPr>
      <w:outlineLvl w:val="0"/>
    </w:pPr>
    <w:rPr>
      <w:rFonts w:ascii="Arial" w:eastAsia="Arial" w:hAnsi="Arial"/>
      <w:sz w:val="34"/>
      <w:szCs w:val="3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52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684C00"/>
    <w:rPr>
      <w:rFonts w:ascii="Arial" w:eastAsia="Arial" w:hAnsi="Arial"/>
      <w:sz w:val="34"/>
      <w:szCs w:val="34"/>
    </w:rPr>
  </w:style>
  <w:style w:type="table" w:styleId="Grigliatabella">
    <w:name w:val="Table Grid"/>
    <w:basedOn w:val="Tabellanormale"/>
    <w:uiPriority w:val="39"/>
    <w:rsid w:val="00684C0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52C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52C9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52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3552C9"/>
    <w:pPr>
      <w:ind w:left="127"/>
    </w:pPr>
    <w:rPr>
      <w:rFonts w:ascii="Arial" w:eastAsia="Arial" w:hAnsi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2C9"/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552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B5F0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04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ifa.gov.it/liste-dei-farma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Buosi</dc:creator>
  <cp:keywords/>
  <dc:description/>
  <cp:lastModifiedBy>Silvia Buosi</cp:lastModifiedBy>
  <cp:revision>5</cp:revision>
  <cp:lastPrinted>2025-09-19T16:01:00Z</cp:lastPrinted>
  <dcterms:created xsi:type="dcterms:W3CDTF">2025-09-19T15:59:00Z</dcterms:created>
  <dcterms:modified xsi:type="dcterms:W3CDTF">2025-09-19T16:27:00Z</dcterms:modified>
</cp:coreProperties>
</file>